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bookmarkStart w:id="0" w:name="_GoBack"/>
      <w:r>
        <w:rPr>
          <w:rFonts w:hint="eastAsia"/>
        </w:rPr>
        <w:t>四川省生态环境厅党组成员、机关党委书记陈秋绿：运用高科技手段，提升生态环境综合决策能力</w:t>
      </w:r>
    </w:p>
    <w:bookmarkEnd w:id="0"/>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来源：中国环境 2020-09-25</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作者：中国环境</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四川省生态环境厅党组成员、机关党委书记 陈秋绿：</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各位嘉宾，各兄弟省市领导及同仁：</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大家上午好！</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时维九月，序属三秋，很高兴能在这个凉爽宜人的季节迎来了第六届全国环境互联网会议。在此，受王波厅长委托，我谨代表四川省生态环境厅，感谢生态环境部宣教司和中国环境报社连续两年选择在我省召开全国环境互联网会议。会议的召开不仅是对四川生态环境工作的重视和支持，也为我们提供了环境互联网+大数据应用方面的学习契机，有利于创新生态环境监管模式、促进治理现代化，助力打赢污染防治攻坚战。</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这里，我给大家简要介绍一下四川的情况：四川地处中国西南部，位于中国地势三级阶梯的第二级，属于过渡地带，四川中部是四川盆地、包括大家熟悉的成都平原，西部是青藏高原，北部是秦岭山脉、大巴山脉，东部是丘陵地区，南部是云贵高原。从地势来看，四川盆地居中，被高原和山地环绕，除了海洋和沙漠，中国其他主要地域形态四川基本都有，且位于长江、黄河上游地区，肩负着维护国家生态安全的重要使命。四川还是中国的人口大省、经济大省、资源大省。省委书记彭清华曾用“四五六”三组数字概括四川的特点，“四”是指四川人口在全国排第四位，户籍人口9100多万；“五”是指四川幅员面积在全国排第五位，有48.6万平方公里；“六”是指四川经济总量在全国排第六位，去年达4.66万亿元人民币，近十多年来我们大体每3-4年新增1万亿元经济总量。</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经济社会快速发展，给生态环境保护带来了挑战和压力。近年来，我们认真贯彻落实习近平生态文明思想和习近平总书记对四川工作系列重要指示精神，将建设长江黄河上游生态屏障、维护国家生态安全放在生态文明建设的首要位置，持续推进生态环境质量改善。特别是今年以来，我们自觉把生态环境保护放在服务经济社会发展大局和地方党委政府中心工作中去考量，新一届党组始终坚持以政治建设引领业务建设，强化主动意识、服务意识，推出环评审批六大举措，在全国率先试行环评“预审制”，下放白酒审批权限，加快一批项目顺利上马；实施环评审批和监督执法“两个正面清单”，实行“三个一批”环评管理，实现“三个优化”执法监管，切实推动企业复工复产；撬动“政银合作”，加强与农发行四川分行、农行四川分行合作，预计三年融资1000亿元，用于支持地方生态环境治理和环保基础设施建设，积极指导帮助市（州）策划包装项目，加快解决一批突出生态环境问题。与四川广播电视台联合开办《对话绿色先锋》大型访谈栏目，撬动21个市州党政“一把手”畅谈践行习近平生态文明思想的创新举措和经验成效，节目播出后受到广泛关注。这一揽子创新举措，充分调动了省直部门和市州的积极性，逐步构建起生态环保“大格局”，实现了统筹抓好新冠疫情防控和助力“六保、六稳”两手抓、双胜利。</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今年1—8月，全省优良天数率为89.7%，同比增加2.2个百分点。全省87个国考断面中水质优良断面84个，占比96.6%，高于国家考核要求（80.5%）16.1个百分点；无劣V类水质断面，10个出川断面全部达到国家考核标准。蓝天白云、鱼翔浅底的美景正加快实现，人民群众幸福感、满意度持续提升。</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各位领导、各位嘉宾，今年以来，我们紧紧围绕国家战略和省委省政府的决策部署，切实提升了生态环境信息化水平，主要开展了以下几项工作：一是积极推进信息系统整合和上云迁移。根据《四川省生态环境信息化建设总体方案》和《四川省生态环境信息化建设管理办法》，在省大数据中心的帮助和支持下，目前，我厅已经基本完成了上云系统备案等前期工作，积极推进系统整合共享和上云迁移方案编制。二是加强生态环境业务数据共享。在全省生态环境系统电子政务信息一体化建设的基础上，通过省大数据中心政务共享交换平台，我们与其他省级部门共享了79类数据，从其他省级部门获取了55类数据。向上给生态环境部上传放射源、机动车、遥感监测、移动执法等四类数据信息，向下为市（州）提供约1.1亿条数据信息，初步搭建起“左右联通、上下贯通、共建共享”的数据交换共享体系。三是推进固定污染源监测监控体系建设。牵头编制实施《四川省固定污染源视频监控建设技术要求（试行）》和《四川省固定污染源用电监控建设技术要求（试行）》，完成了6个试点市监控平台和在线监测平台升级改造。另外，编制固定污染源“一张图”升级完善了“一企一档”模块，初步打造了四川省固定污染源数据库，基本实现固定污染源“一本账”查询。四是助力打好疫情防控阻击战和污染防治攻坚战。疫情期间跟踪记录全省118家定点收治医院、污水处理厂等的余氯在线监测数据，并与生态环境部联网实现常态化疫情防控。同时依托省一体化政务服务平台，提升“互联网+政务服务”能力，实现全厅所有行政许可事项100%网上办理，助力企业复工复产。截至8月底网上共办结700余项行政审批事项，做到“让数据多跑路、让群众少跑路”。</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我们衷心希望，通过此次会议，进一步提高四川生态环境信息化建设水平，加强互联网、大数据、云计算等高科技手段的运用，提升生态环境综合决策能力。在此，再次感谢生态环境部宣教司和中国环境报社的各位领导长期以来对四川生态环保工作的关心与支持，在我们有困难、有需求的关键时刻，帮我们出主意、想办法，为我们坚定不移打赢打好污染防治攻坚战营造良好舆论氛围。今后，希望继续支持四川生态环境，共同传播生态环境保护正能量！</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最后，预祝本次大会取得丰硕成果，祝各位领导、各位嘉宾身体健康、工作顺利，也祝大家在能“天府之国”领略到不一样的自然风光、感受不一样的风土人情，度过愉快的工作学习时光！</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谢谢大家！</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rPr>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134D2C84"/>
    <w:rsid w:val="147719B0"/>
    <w:rsid w:val="16EF4FC1"/>
    <w:rsid w:val="184C347C"/>
    <w:rsid w:val="2D3250CF"/>
    <w:rsid w:val="2F1D0442"/>
    <w:rsid w:val="308616C4"/>
    <w:rsid w:val="3146050C"/>
    <w:rsid w:val="32BC4846"/>
    <w:rsid w:val="330D080A"/>
    <w:rsid w:val="37B22A30"/>
    <w:rsid w:val="3EAA7EBA"/>
    <w:rsid w:val="3FEF71A5"/>
    <w:rsid w:val="406E2B8B"/>
    <w:rsid w:val="41943A68"/>
    <w:rsid w:val="421A58DC"/>
    <w:rsid w:val="43D9246D"/>
    <w:rsid w:val="472342C4"/>
    <w:rsid w:val="4F366038"/>
    <w:rsid w:val="52411E19"/>
    <w:rsid w:val="536C1C3B"/>
    <w:rsid w:val="53977A60"/>
    <w:rsid w:val="55527FBD"/>
    <w:rsid w:val="5568298A"/>
    <w:rsid w:val="5B62366D"/>
    <w:rsid w:val="5C9B505C"/>
    <w:rsid w:val="5D570DE3"/>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